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5396" w:rsidRDefault="00615396">
      <w:pPr>
        <w:rPr>
          <w:b/>
        </w:rPr>
      </w:pPr>
      <w:r w:rsidRPr="00615396">
        <w:rPr>
          <w:b/>
        </w:rPr>
        <w:t>Additional file 3: Detailed information about the findings of included studies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15396" w:rsidTr="00615396">
        <w:tc>
          <w:tcPr>
            <w:tcW w:w="9062" w:type="dxa"/>
            <w:shd w:val="clear" w:color="auto" w:fill="D0CECE" w:themeFill="background2" w:themeFillShade="E6"/>
          </w:tcPr>
          <w:p w:rsidR="00615396" w:rsidRDefault="00615396">
            <w:pPr>
              <w:rPr>
                <w:b/>
              </w:rPr>
            </w:pPr>
            <w:proofErr w:type="spellStart"/>
            <w:r>
              <w:rPr>
                <w:b/>
              </w:rPr>
              <w:t>Abley</w:t>
            </w:r>
            <w:proofErr w:type="spellEnd"/>
            <w:r>
              <w:rPr>
                <w:b/>
              </w:rPr>
              <w:t xml:space="preserve"> et al.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Dementia care training (n=6):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Dementia Knowledge (n=4):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-Significant increase in median score immediately post-intervention from 13.0 to 15.0 (maximum score possible 16, indicating better knowledge of dementia) and (p &lt; 0.001)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increase in average knowledge scores</w:t>
            </w:r>
            <w:r w:rsidRPr="00122AE0">
              <w:rPr>
                <w:rFonts w:ascii="AdvOT1ef757c0" w:hAnsi="AdvOT1ef757c0" w:cs="AdvOT1ef757c0"/>
                <w:color w:val="231F20"/>
                <w:sz w:val="18"/>
                <w:szCs w:val="18"/>
              </w:rPr>
              <w:t xml:space="preserve"> </w:t>
            </w:r>
            <w:r w:rsidRPr="00122AE0">
              <w:rPr>
                <w:sz w:val="16"/>
                <w:szCs w:val="16"/>
              </w:rPr>
              <w:t>from 9.</w:t>
            </w:r>
            <w:r>
              <w:rPr>
                <w:sz w:val="16"/>
                <w:szCs w:val="16"/>
              </w:rPr>
              <w:t>9</w:t>
            </w:r>
            <w:r w:rsidRPr="00122AE0">
              <w:rPr>
                <w:sz w:val="16"/>
                <w:szCs w:val="16"/>
              </w:rPr>
              <w:t>7 to 12.9; 120 days post- intervention significant decline in one hospital but not in the other three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Increase in staff identifying pain from 25% to 44%; Increase in the number of environmental factors identified from 12 to 20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One study did not provide post-intervention data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Dementia confidence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increase in confidence of staff immediately post-intervention. (n=2) (p &lt; 0.001 in both studies)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 at 120 days post-intervention, confidence levels remained stable in three of the hospitals but declined significantly in one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Beliefs and attitudes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Scores from the Controllability Beliefs Scale (possible scores from 15 to 75 – a higher score indicates a belief that the person can control their own behaviour) decreased significantly post-intervention from 27.96 to 25.85 and pointed to staff holding a more patient-centred view on challenging behaviour (n=1)</w:t>
            </w:r>
            <w:r>
              <w:rPr>
                <w:sz w:val="16"/>
                <w:szCs w:val="16"/>
              </w:rPr>
              <w:t xml:space="preserve"> (p=0.003)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improvement in nearly all areas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Communication techniques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Use of five of the appropriate communication techniques increased significantly post-intervention and three of them increased somewhat but did not reach significance.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It also found that the use of inappropriate communication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techniques declined, but this was not significant.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Palliative care consultations (n=1):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35% of the patients with advanced dementia received a palliative care consultation and 22% of those were initiated in the emergency department. This was an increase from zero prior to the intervention.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Delirium AND dementia training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Staff knowledge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1ef757c0" w:hAnsi="AdvOT1ef757c0" w:cs="AdvOT1ef757c0"/>
                <w:color w:val="231F20"/>
                <w:sz w:val="18"/>
                <w:szCs w:val="18"/>
              </w:rPr>
            </w:pPr>
            <w:r w:rsidRPr="00122AE0">
              <w:rPr>
                <w:sz w:val="16"/>
                <w:szCs w:val="16"/>
              </w:rPr>
              <w:t>- An increase of knowledge was seen in both studies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Staff self-efficacy and confidence (n=2)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Increased in both studies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in the learners’ confidence in managing issues relevant to this patient group (P &lt; 0.001) (n=1)</w:t>
            </w:r>
          </w:p>
        </w:tc>
      </w:tr>
      <w:tr w:rsidR="00615396" w:rsidTr="00615396">
        <w:tc>
          <w:tcPr>
            <w:tcW w:w="9062" w:type="dxa"/>
            <w:shd w:val="clear" w:color="auto" w:fill="D0CECE" w:themeFill="background2" w:themeFillShade="E6"/>
          </w:tcPr>
          <w:p w:rsidR="00615396" w:rsidRDefault="00615396" w:rsidP="00615396">
            <w:pPr>
              <w:rPr>
                <w:b/>
              </w:rPr>
            </w:pPr>
            <w:r>
              <w:rPr>
                <w:b/>
              </w:rPr>
              <w:t>Blair et al.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stay: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The IG had a statistically significant longer mean LOS (11.75 days) than the CG (9.14 days)</w:t>
            </w:r>
            <w:bookmarkStart w:id="0" w:name="_Hlk18928558"/>
            <w:r w:rsidRPr="00122AE0">
              <w:rPr>
                <w:sz w:val="16"/>
                <w:szCs w:val="16"/>
              </w:rPr>
              <w:t xml:space="preserve"> (z = 3.22, p = 0.001, d = 0.30).</w:t>
            </w:r>
            <w:bookmarkEnd w:id="0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28-Day Readmission rates: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bookmarkStart w:id="1" w:name="_Hlk18928665"/>
            <w:r w:rsidRPr="00122AE0">
              <w:rPr>
                <w:sz w:val="16"/>
                <w:szCs w:val="16"/>
              </w:rPr>
              <w:t>28-day readmission rates for the IG (8.6%) were significantly lower than for the CG (17.0%) (χ2 = 7.501, p = 0.006, d = 0.26)</w:t>
            </w:r>
          </w:p>
          <w:bookmarkEnd w:id="1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Mean number of behavioural incidents per day: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bookmarkStart w:id="2" w:name="_Hlk18928908"/>
            <w:r w:rsidRPr="00122AE0">
              <w:rPr>
                <w:sz w:val="16"/>
                <w:szCs w:val="16"/>
              </w:rPr>
              <w:t xml:space="preserve">No significant differences between IG (1.17) and CG (1.04) </w:t>
            </w:r>
            <w:r w:rsidRPr="00122AE0">
              <w:rPr>
                <w:rFonts w:ascii="Plantin" w:hAnsi="Plantin" w:cs="Plantin"/>
                <w:sz w:val="21"/>
                <w:szCs w:val="21"/>
              </w:rPr>
              <w:t>(</w:t>
            </w:r>
            <w:r w:rsidRPr="00122AE0">
              <w:rPr>
                <w:sz w:val="16"/>
                <w:szCs w:val="16"/>
              </w:rPr>
              <w:t>z = 1.725, p = 0.084).</w:t>
            </w:r>
          </w:p>
          <w:bookmarkEnd w:id="2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Falls per day: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statistically significant differences between IG (M: 0.013) and CG (M: 0.010) in the number of falls per day </w:t>
            </w:r>
            <w:bookmarkStart w:id="3" w:name="_Hlk18929131"/>
            <w:r w:rsidRPr="00122AE0">
              <w:rPr>
                <w:sz w:val="16"/>
                <w:szCs w:val="16"/>
              </w:rPr>
              <w:t>(z = 0.430, p = 0.667).</w:t>
            </w:r>
            <w:bookmarkEnd w:id="3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Number of medications at discharge: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differences between IG (M: 8.34) and CG (M: 8.51) </w:t>
            </w:r>
            <w:bookmarkStart w:id="4" w:name="_Hlk18929435"/>
            <w:r w:rsidRPr="00122AE0">
              <w:rPr>
                <w:sz w:val="16"/>
                <w:szCs w:val="16"/>
              </w:rPr>
              <w:t>(p=0.555)</w:t>
            </w:r>
            <w:bookmarkEnd w:id="4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Average number of </w:t>
            </w:r>
            <w:proofErr w:type="gramStart"/>
            <w:r w:rsidRPr="00122AE0">
              <w:rPr>
                <w:b/>
                <w:sz w:val="16"/>
                <w:szCs w:val="16"/>
              </w:rPr>
              <w:t>pro</w:t>
            </w:r>
            <w:proofErr w:type="gramEnd"/>
            <w:r w:rsidRPr="00122AE0">
              <w:rPr>
                <w:b/>
                <w:sz w:val="16"/>
                <w:szCs w:val="16"/>
              </w:rPr>
              <w:t xml:space="preserve"> re </w:t>
            </w:r>
            <w:proofErr w:type="spellStart"/>
            <w:r w:rsidRPr="00122AE0">
              <w:rPr>
                <w:b/>
                <w:sz w:val="16"/>
                <w:szCs w:val="16"/>
              </w:rPr>
              <w:t>nata</w:t>
            </w:r>
            <w:proofErr w:type="spellEnd"/>
            <w:r w:rsidRPr="00122AE0">
              <w:rPr>
                <w:b/>
                <w:sz w:val="16"/>
                <w:szCs w:val="16"/>
              </w:rPr>
              <w:t xml:space="preserve"> psychotropic doses per day: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between IG (</w:t>
            </w:r>
            <w:bookmarkStart w:id="5" w:name="_Hlk18929628"/>
            <w:r w:rsidRPr="00122AE0">
              <w:rPr>
                <w:sz w:val="16"/>
                <w:szCs w:val="16"/>
              </w:rPr>
              <w:t>M: 0.191) and CG (M: 0.153) (p=0.755)</w:t>
            </w:r>
            <w:bookmarkEnd w:id="5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Average number of </w:t>
            </w:r>
            <w:proofErr w:type="gramStart"/>
            <w:r w:rsidRPr="00122AE0">
              <w:rPr>
                <w:b/>
                <w:sz w:val="16"/>
                <w:szCs w:val="16"/>
              </w:rPr>
              <w:t>pro</w:t>
            </w:r>
            <w:proofErr w:type="gramEnd"/>
            <w:r w:rsidRPr="00122AE0">
              <w:rPr>
                <w:b/>
                <w:sz w:val="16"/>
                <w:szCs w:val="16"/>
              </w:rPr>
              <w:t xml:space="preserve"> re </w:t>
            </w:r>
            <w:proofErr w:type="spellStart"/>
            <w:r w:rsidRPr="00122AE0">
              <w:rPr>
                <w:b/>
                <w:sz w:val="16"/>
                <w:szCs w:val="16"/>
              </w:rPr>
              <w:t>nata</w:t>
            </w:r>
            <w:proofErr w:type="spellEnd"/>
            <w:r w:rsidRPr="00122AE0">
              <w:rPr>
                <w:b/>
                <w:sz w:val="16"/>
                <w:szCs w:val="16"/>
              </w:rPr>
              <w:t xml:space="preserve"> analgesia doses per day: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between IG (M: 0.511) and CG (M: 0.507) (p=0.768)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Prescribed psychotropics pro re </w:t>
            </w:r>
            <w:proofErr w:type="spellStart"/>
            <w:r w:rsidRPr="00122AE0">
              <w:rPr>
                <w:b/>
                <w:sz w:val="16"/>
                <w:szCs w:val="16"/>
              </w:rPr>
              <w:t>nata</w:t>
            </w:r>
            <w:proofErr w:type="spellEnd"/>
            <w:r w:rsidRPr="00122AE0">
              <w:rPr>
                <w:b/>
                <w:sz w:val="16"/>
                <w:szCs w:val="16"/>
              </w:rPr>
              <w:t>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Significantly lower in the IG (31.3 % vs. 53.2 %) (p=0.001)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Given pro re </w:t>
            </w:r>
            <w:proofErr w:type="spellStart"/>
            <w:r w:rsidRPr="00122AE0">
              <w:rPr>
                <w:b/>
                <w:sz w:val="16"/>
                <w:szCs w:val="16"/>
              </w:rPr>
              <w:t>nata</w:t>
            </w:r>
            <w:proofErr w:type="spellEnd"/>
            <w:r w:rsidRPr="00122AE0">
              <w:rPr>
                <w:b/>
                <w:sz w:val="16"/>
                <w:szCs w:val="16"/>
              </w:rPr>
              <w:t xml:space="preserve"> psychotropics: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(31.5 %) and CG (29.2 %) (p= 0.606)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Psychotropics at discharge: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(34.2 %) and CG (40 %) (p= 0.490)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Prescribed Analgesia pro re </w:t>
            </w:r>
            <w:proofErr w:type="spellStart"/>
            <w:r w:rsidRPr="00122AE0">
              <w:rPr>
                <w:b/>
                <w:sz w:val="16"/>
                <w:szCs w:val="16"/>
              </w:rPr>
              <w:t>nata</w:t>
            </w:r>
            <w:proofErr w:type="spellEnd"/>
            <w:r w:rsidRPr="00122AE0">
              <w:rPr>
                <w:b/>
                <w:sz w:val="16"/>
                <w:szCs w:val="16"/>
              </w:rPr>
              <w:t>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(61 %) and CG (67%) (p= 0.194)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Analgesia at discharge: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(63.3 %) and CG (64.4 %) (p= 0.210)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proofErr w:type="spellStart"/>
            <w:r w:rsidRPr="00122AE0">
              <w:rPr>
                <w:b/>
                <w:sz w:val="16"/>
                <w:szCs w:val="16"/>
              </w:rPr>
              <w:t>Specialling</w:t>
            </w:r>
            <w:proofErr w:type="spellEnd"/>
            <w:r w:rsidRPr="00122AE0">
              <w:rPr>
                <w:b/>
                <w:sz w:val="16"/>
                <w:szCs w:val="16"/>
              </w:rPr>
              <w:t>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A significantly smaller proportion of patients in the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IG (4.8% vs. 11.2%) required </w:t>
            </w:r>
            <w:proofErr w:type="spellStart"/>
            <w:r w:rsidRPr="00122AE0">
              <w:rPr>
                <w:sz w:val="16"/>
                <w:szCs w:val="16"/>
              </w:rPr>
              <w:t>specialling</w:t>
            </w:r>
            <w:proofErr w:type="spellEnd"/>
            <w:r w:rsidRPr="00122AE0">
              <w:rPr>
                <w:sz w:val="16"/>
                <w:szCs w:val="16"/>
              </w:rPr>
              <w:t xml:space="preserve"> </w:t>
            </w:r>
            <w:bookmarkStart w:id="6" w:name="_Hlk18928234"/>
            <w:r w:rsidRPr="00122AE0">
              <w:rPr>
                <w:sz w:val="16"/>
                <w:szCs w:val="16"/>
              </w:rPr>
              <w:t>(χ2 = 6.51, p= 0.011, d = 0.24).</w:t>
            </w:r>
            <w:bookmarkEnd w:id="6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Mortality: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differences between IG (5.6 %) and CG (4.8 %) (χ2 = 0.120, p = 0.729)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First time admission to residential aged care facility: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differences between </w:t>
            </w:r>
            <w:bookmarkStart w:id="7" w:name="_Hlk18931424"/>
            <w:r w:rsidRPr="00122AE0">
              <w:rPr>
                <w:sz w:val="16"/>
                <w:szCs w:val="16"/>
              </w:rPr>
              <w:t>IG (12.2 %) and CG (8 %) (p=0.145)</w:t>
            </w:r>
            <w:bookmarkEnd w:id="7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Pressure ulcer:</w:t>
            </w:r>
          </w:p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between</w:t>
            </w:r>
            <w:bookmarkStart w:id="8" w:name="_Hlk18931656"/>
            <w:r w:rsidRPr="00122AE0">
              <w:rPr>
                <w:sz w:val="16"/>
                <w:szCs w:val="16"/>
              </w:rPr>
              <w:t xml:space="preserve"> IG (3 %) and CG (3.7 %) (p=0.653)</w:t>
            </w:r>
            <w:bookmarkEnd w:id="8"/>
          </w:p>
        </w:tc>
      </w:tr>
      <w:tr w:rsidR="00615396" w:rsidRPr="00615396" w:rsidTr="00615396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lastRenderedPageBreak/>
              <w:t>Boltz et al. (2015)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Patient: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ADL-performance:</w:t>
            </w:r>
          </w:p>
          <w:p w:rsidR="00615396" w:rsidRPr="00122AE0" w:rsidRDefault="00615396" w:rsidP="00615396">
            <w:pPr>
              <w:pStyle w:val="Default"/>
              <w:rPr>
                <w:rFonts w:ascii="Times New Roman" w:hAnsi="Times New Roman" w:cs="Times New Roman"/>
                <w:lang w:val="en-GB"/>
              </w:rPr>
            </w:pPr>
            <w:r w:rsidRPr="00122AE0">
              <w:rPr>
                <w:rFonts w:asciiTheme="minorHAnsi" w:hAnsiTheme="minorHAnsi" w:cstheme="minorBidi"/>
                <w:color w:val="auto"/>
                <w:sz w:val="16"/>
                <w:szCs w:val="16"/>
                <w:lang w:val="en-GB"/>
              </w:rPr>
              <w:t>Patients who participated in Fam-FFC demonstrated better ADL performance (F [2.0] = 4.2; p = 0.02</w:t>
            </w:r>
            <w:r w:rsidRPr="00122AE0">
              <w:rPr>
                <w:sz w:val="16"/>
                <w:szCs w:val="16"/>
                <w:lang w:val="en-GB"/>
              </w:rPr>
              <w:t xml:space="preserve">), </w:t>
            </w:r>
            <w:r w:rsidRPr="00122AE0">
              <w:rPr>
                <w:rFonts w:asciiTheme="minorHAnsi" w:hAnsiTheme="minorHAnsi" w:cstheme="minorBidi"/>
                <w:color w:val="auto"/>
                <w:sz w:val="16"/>
                <w:szCs w:val="16"/>
                <w:lang w:val="en-GB"/>
              </w:rPr>
              <w:t>improvement evident at 2 months after discharge.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Walking performance: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Mean walking performance differed significantly between intervention arms (F [2.5] = 6.1; p =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Gait and balance: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effect of the intervention (F [2.4] = 0.9; p = 0.79).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Delirium severity: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less delirium severity in the IG (F [1.4] = 4.1; p = 0.03).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Readmission to hospital within 30 days:</w:t>
            </w:r>
          </w:p>
          <w:p w:rsidR="00615396" w:rsidRPr="00122AE0" w:rsidRDefault="00615396" w:rsidP="00615396">
            <w:pPr>
              <w:pStyle w:val="Default"/>
              <w:rPr>
                <w:rFonts w:asciiTheme="minorHAnsi" w:hAnsiTheme="minorHAnsi" w:cstheme="minorBidi"/>
                <w:color w:val="auto"/>
                <w:sz w:val="16"/>
                <w:szCs w:val="16"/>
                <w:lang w:val="en-GB"/>
              </w:rPr>
            </w:pPr>
            <w:r w:rsidRPr="00122AE0">
              <w:rPr>
                <w:rFonts w:asciiTheme="minorHAnsi" w:hAnsiTheme="minorHAnsi" w:cstheme="minorBidi"/>
                <w:color w:val="auto"/>
                <w:sz w:val="16"/>
                <w:szCs w:val="16"/>
                <w:lang w:val="en-GB"/>
              </w:rPr>
              <w:t>Significant difference in favour of the intervention (χ2= 5.8; p=0.02)</w:t>
            </w:r>
          </w:p>
          <w:p w:rsidR="00615396" w:rsidRPr="00122AE0" w:rsidRDefault="00615396" w:rsidP="00615396">
            <w:pPr>
              <w:pStyle w:val="Default"/>
              <w:rPr>
                <w:rFonts w:asciiTheme="minorHAnsi" w:hAnsiTheme="minorHAnsi" w:cstheme="minorBidi"/>
                <w:color w:val="auto"/>
                <w:sz w:val="16"/>
                <w:szCs w:val="16"/>
                <w:lang w:val="en-GB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Failed to return to baseline function by 2 months </w:t>
            </w:r>
            <w:proofErr w:type="spellStart"/>
            <w:r w:rsidRPr="00122AE0">
              <w:rPr>
                <w:b/>
                <w:sz w:val="16"/>
                <w:szCs w:val="16"/>
              </w:rPr>
              <w:t>postdischarge</w:t>
            </w:r>
            <w:proofErr w:type="spellEnd"/>
            <w:r w:rsidRPr="00122AE0">
              <w:rPr>
                <w:b/>
                <w:sz w:val="16"/>
                <w:szCs w:val="16"/>
              </w:rPr>
              <w:t>:</w:t>
            </w:r>
          </w:p>
          <w:p w:rsidR="00615396" w:rsidRPr="00122AE0" w:rsidRDefault="00615396" w:rsidP="00615396">
            <w:pPr>
              <w:pStyle w:val="Default"/>
              <w:rPr>
                <w:rFonts w:ascii="Times New Roman" w:hAnsi="Times New Roman" w:cs="Times New Roman"/>
                <w:lang w:val="en-GB"/>
              </w:rPr>
            </w:pPr>
            <w:r w:rsidRPr="00122AE0">
              <w:rPr>
                <w:rFonts w:asciiTheme="minorHAnsi" w:hAnsiTheme="minorHAnsi" w:cstheme="minorBidi"/>
                <w:color w:val="auto"/>
                <w:sz w:val="16"/>
                <w:szCs w:val="16"/>
                <w:lang w:val="en-GB"/>
              </w:rPr>
              <w:t>Significant less patients in the IG (χ2= 8.6; p=0.003)</w:t>
            </w:r>
          </w:p>
          <w:p w:rsidR="00615396" w:rsidRPr="00122AE0" w:rsidRDefault="00615396" w:rsidP="00615396">
            <w:pPr>
              <w:pStyle w:val="Default"/>
              <w:rPr>
                <w:rFonts w:asciiTheme="minorHAnsi" w:hAnsiTheme="minorHAnsi" w:cstheme="minorBidi"/>
                <w:color w:val="auto"/>
                <w:sz w:val="16"/>
                <w:szCs w:val="16"/>
                <w:lang w:val="en-GB"/>
              </w:rPr>
            </w:pP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Family caregivers: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Preparedness for caregiving: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increase in preparedness for caregiving (F [2.6] = 3.0; p = 0.04)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Anxiety: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Significant difference between groups (F [1.7] = 5.5; p &lt; 0.008), in favour of the intervention.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 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Depression: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effect of the intervention (F [2.1] = 2.7; p = 0.07)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2AE0">
              <w:rPr>
                <w:b/>
                <w:sz w:val="16"/>
                <w:szCs w:val="16"/>
              </w:rPr>
              <w:t>Role Strain:</w:t>
            </w:r>
            <w:r w:rsidRPr="00122A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effect of the intervention (F [1.6] = 1.7; p = 0.20)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2AE0">
              <w:rPr>
                <w:b/>
                <w:sz w:val="16"/>
                <w:szCs w:val="16"/>
              </w:rPr>
              <w:t>Mutuality:</w:t>
            </w:r>
            <w:r w:rsidRPr="00122AE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effect of the intervention (F [1.9] = 1.7; p = 0.19)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proofErr w:type="spellStart"/>
            <w:r w:rsidRPr="00615396">
              <w:rPr>
                <w:b/>
              </w:rPr>
              <w:t>Eggenberger</w:t>
            </w:r>
            <w:proofErr w:type="spellEnd"/>
            <w:r w:rsidRPr="00615396">
              <w:rPr>
                <w:b/>
              </w:rPr>
              <w:t xml:space="preserve"> et al. (2013)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Volunteers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Self-assessed skills in communicating with people with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T1 (Mean: 6.63, SD. 2.03) and T2 (Mean: 7.0, SD: 1.63)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Self-assessed knowledge about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between T1 (Mean: 5.18, SD: 2.27) and T2 (Mean: 7.38, SD: 1.26) (p=0.009)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Knowledge:  only 5 items from 18 are reported: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Right answer to: People with dementia often </w:t>
            </w:r>
            <w:proofErr w:type="gramStart"/>
            <w:r w:rsidRPr="00122AE0">
              <w:rPr>
                <w:b/>
                <w:sz w:val="16"/>
                <w:szCs w:val="16"/>
              </w:rPr>
              <w:t>suffer</w:t>
            </w:r>
            <w:proofErr w:type="gramEnd"/>
            <w:r w:rsidRPr="00122AE0">
              <w:rPr>
                <w:b/>
                <w:sz w:val="16"/>
                <w:szCs w:val="16"/>
              </w:rPr>
              <w:t xml:space="preserve"> from nutritional problems n (%)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15 (88.2), T2: 16 (94.1)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Right answer to: How do you react, when a patient with dementia wants to his mother</w:t>
            </w:r>
          </w:p>
          <w:p w:rsidR="00615396" w:rsidRPr="00122AE0" w:rsidRDefault="00615396" w:rsidP="00615396">
            <w:pPr>
              <w:ind w:left="708" w:hanging="708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15 (88.2), T2: 15 (88.2)</w:t>
            </w:r>
          </w:p>
          <w:p w:rsidR="00615396" w:rsidRPr="00122AE0" w:rsidRDefault="00615396" w:rsidP="00615396">
            <w:pPr>
              <w:ind w:left="708" w:hanging="708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ind w:left="708" w:hanging="708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Right answer to: Patients with severe dementia</w:t>
            </w:r>
          </w:p>
          <w:p w:rsidR="00615396" w:rsidRPr="00122AE0" w:rsidRDefault="00615396" w:rsidP="00615396">
            <w:pPr>
              <w:ind w:left="708" w:hanging="708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don’t have quality of life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13 (76.5), T2: 14 (82.4)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lastRenderedPageBreak/>
              <w:t xml:space="preserve">Right answer to: People with dementia </w:t>
            </w:r>
            <w:proofErr w:type="spellStart"/>
            <w:r w:rsidRPr="00122AE0">
              <w:rPr>
                <w:b/>
                <w:sz w:val="16"/>
                <w:szCs w:val="16"/>
              </w:rPr>
              <w:t>loose</w:t>
            </w:r>
            <w:proofErr w:type="spellEnd"/>
            <w:r w:rsidRPr="00122AE0">
              <w:rPr>
                <w:b/>
                <w:sz w:val="16"/>
                <w:szCs w:val="16"/>
              </w:rPr>
              <w:t xml:space="preserve"> their ability to communicate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T1: 5 (29.4), T2: 10 (58.8)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Right answer to: How long does it usually take to contact a person with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</w:rPr>
              <w:t>T1: 5 (29.4), T2: 10 (58.8)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proofErr w:type="spellStart"/>
            <w:r w:rsidRPr="00615396">
              <w:rPr>
                <w:b/>
              </w:rPr>
              <w:lastRenderedPageBreak/>
              <w:t>Hasemann</w:t>
            </w:r>
            <w:proofErr w:type="spellEnd"/>
            <w:r w:rsidRPr="00615396">
              <w:rPr>
                <w:b/>
              </w:rPr>
              <w:t xml:space="preserve"> et al. (2016)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Delirium severity: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groups 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1,102) = 0.093; p = 0.761).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Subgroup analysis of adherent and non-adherent wards: Significant decrease in delirium in the IG 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1,48) = 5.531; p = 0.023) from the first to the second day of delirium and over the complete course of delirium (F(1.48) = 4.079; P = 0.050)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Delirium duration: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difference. IG (M: 4.1 days (SD 3.4); CG (M: 3.0 days (SD 3.1) 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Benzodiazepine use: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Nonsignificant change from the neuroleptic haloperidol to the atypical neuroleptic quetiapine in the IG.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Significant alteration in lorazepam use, which decreased (U = 361.5; p = 0.027). 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Quetiapine was administered more often, and haloperidol administered significantly less in the intervention group (</w:t>
            </w:r>
            <w:r w:rsidRPr="00122AE0">
              <w:rPr>
                <w:sz w:val="19"/>
                <w:szCs w:val="19"/>
              </w:rPr>
              <w:t>x</w:t>
            </w:r>
            <w:r w:rsidRPr="00122AE0">
              <w:rPr>
                <w:rFonts w:ascii="OHFNJ D+ Adv P 4 D F 60 E" w:hAnsi="OHFNJ D+ Adv P 4 D F 60 E" w:cs="OHFNJ D+ Adv P 4 D F 60 E"/>
                <w:sz w:val="10"/>
                <w:szCs w:val="10"/>
              </w:rPr>
              <w:t>2</w:t>
            </w:r>
            <w:r w:rsidRPr="00122AE0">
              <w:rPr>
                <w:rFonts w:ascii="OHFNJ D+ Adv P 4 D F 60 E" w:hAnsi="OHFNJ D+ Adv P 4 D F 60 E" w:cs="OHFNJ D+ Adv P 4 D F 60 E"/>
                <w:sz w:val="16"/>
                <w:szCs w:val="16"/>
              </w:rPr>
              <w:t xml:space="preserve">(1) = 6.7, </w:t>
            </w:r>
            <w:r w:rsidRPr="00122AE0">
              <w:rPr>
                <w:sz w:val="16"/>
                <w:szCs w:val="16"/>
              </w:rPr>
              <w:t>p = 0.01).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t>Hobday et al. (2017)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Dementia Care Knowledge:</w:t>
            </w: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Significant increase in knowledge (t=11.5, df=24, p &lt;0.001)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t>Isaac et al. (2018)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Patient: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Total number of falls: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reduction between baseline and establishment phase (p&lt; 0.05)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Average length of stay: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reduction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Use of one-to-one nursing care: (data only collected in one of two wards)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reduction between baseline and establishment phase (p&lt; 0.05)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Complaints: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Non-significant reduction in complaints per month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Level of confidence: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(73%, 73 %, 71 % being confident at the three time points)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Comfort dealing with carers: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statistically significant difference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proofErr w:type="spellStart"/>
            <w:r w:rsidRPr="00615396">
              <w:rPr>
                <w:b/>
              </w:rPr>
              <w:t>Luxford</w:t>
            </w:r>
            <w:proofErr w:type="spellEnd"/>
            <w:r w:rsidRPr="00615396">
              <w:rPr>
                <w:b/>
              </w:rPr>
              <w:t xml:space="preserve"> et al. (2015)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Patient: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Falls: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change in the number or rate of incident-reported falls across all hospitals.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One hospital: significantly fewer falls per month (-6.85 falls, p</w:t>
            </w:r>
            <w:r w:rsidRPr="00122AE0">
              <w:rPr>
                <w:rFonts w:ascii="AdvOT638a931c.I" w:hAnsi="AdvOT638a931c.I" w:cs="AdvOT638a931c.I"/>
                <w:sz w:val="16"/>
                <w:szCs w:val="16"/>
              </w:rPr>
              <w:t xml:space="preserve"> </w:t>
            </w:r>
            <w:r w:rsidRPr="00122AE0">
              <w:rPr>
                <w:rFonts w:ascii="AdvOTbc475f09" w:hAnsi="AdvOTbc475f09" w:cs="AdvOTbc475f09"/>
                <w:sz w:val="16"/>
                <w:szCs w:val="16"/>
              </w:rPr>
              <w:t>&lt; 0.05)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" w:hAnsi="AdvOTbc475f09" w:cs="AdvOTbc475f09"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Relatives: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Satisfaction: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The item “staff making the carer feel comfortable to provide information about the patient” was significantly higher in the hospitalisation with the intervention (</w:t>
            </w:r>
            <w:proofErr w:type="gram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t(</w:t>
            </w:r>
            <w:proofErr w:type="gram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134) = −2.36, p &lt; 0.05).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The item</w:t>
            </w:r>
            <w:bookmarkStart w:id="9" w:name="_Hlk18679547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 xml:space="preserve"> “staff listening to and taking notice of information provided by the carer” was significantly higher in the hospitalisation with the intervention (</w:t>
            </w:r>
            <w:proofErr w:type="gram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t(</w:t>
            </w:r>
            <w:proofErr w:type="gram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132) = −3.592, p &lt; 0.05).</w:t>
            </w:r>
            <w:bookmarkEnd w:id="9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Clinicians reporting that they “always obtain key strategies from carers to manage the care of patients with dementia”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638a931c.I" w:hAnsi="AdvOT638a931c.I" w:cs="AdvOT638a931c.I"/>
                <w:sz w:val="16"/>
                <w:szCs w:val="16"/>
              </w:rPr>
            </w:pPr>
            <w:bookmarkStart w:id="10" w:name="_Hlk18675771"/>
            <w:r w:rsidRPr="00122AE0">
              <w:rPr>
                <w:sz w:val="16"/>
                <w:szCs w:val="16"/>
              </w:rPr>
              <w:t>Significantly higher after the intervention 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1,712) = 5.65, P &lt; 0.05). This sustained between 6 months and the end of the 12-month period.</w:t>
            </w:r>
          </w:p>
          <w:bookmarkEnd w:id="10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" w:hAnsi="AdvOTbc475f09" w:cs="AdvOTbc475f09"/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Level of confidence: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Significantly higher after the intervention</w:t>
            </w:r>
            <w:r w:rsidRPr="00122AE0">
              <w:rPr>
                <w:rFonts w:ascii="AdvOTbc475f09" w:hAnsi="AdvOTbc475f09" w:cs="AdvOTbc475f09"/>
                <w:b/>
                <w:sz w:val="16"/>
                <w:szCs w:val="16"/>
              </w:rPr>
              <w:t xml:space="preserve"> </w:t>
            </w:r>
            <w:bookmarkStart w:id="11" w:name="_Hlk18675090"/>
            <w:r w:rsidRPr="00122AE0">
              <w:rPr>
                <w:rFonts w:ascii="AdvOTbc475f09" w:hAnsi="AdvOTbc475f09" w:cs="AdvOTbc475f09"/>
                <w:b/>
                <w:sz w:val="16"/>
                <w:szCs w:val="16"/>
              </w:rPr>
              <w:t>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1,712)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= 11.21, P &lt; 0.05</w:t>
            </w:r>
            <w:bookmarkEnd w:id="11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 xml:space="preserve">). </w:t>
            </w:r>
            <w:bookmarkStart w:id="12" w:name="_Hlk18675040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This increased confidence was also sustained between 6 and 12 months (</w:t>
            </w:r>
            <w:proofErr w:type="gram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F(</w:t>
            </w:r>
            <w:proofErr w:type="gram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1,712) = 0.02, P &gt; 0.05).</w:t>
            </w:r>
            <w:bookmarkEnd w:id="12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Organisational: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One-to-one nursing (data from one hospital):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Statistically significant decrease in the trend in use of </w:t>
            </w:r>
            <w:proofErr w:type="gramStart"/>
            <w:r w:rsidRPr="00122AE0">
              <w:rPr>
                <w:sz w:val="16"/>
                <w:szCs w:val="16"/>
              </w:rPr>
              <w:t>1 :</w:t>
            </w:r>
            <w:proofErr w:type="gramEnd"/>
            <w:r w:rsidRPr="00122AE0">
              <w:rPr>
                <w:sz w:val="16"/>
                <w:szCs w:val="16"/>
              </w:rPr>
              <w:t xml:space="preserve"> 1 staffing was observed. For each month of the implementation period, there was an average additional decrease of 0.84 (P &lt; 0.05) one-to-one staff used, when controlling for seasonal effects.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Anti-psychotic medication (data from two hospitals):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One hospital displayed a statistically significant reduction in the use of anti-psychotics with an overall reduction of 68% in average cost of anti-psychotics per month.</w:t>
            </w:r>
          </w:p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rFonts w:ascii="AdvOTbc475f09+20" w:hAnsi="AdvOTbc475f09+20" w:cs="AdvOTbc475f09+20"/>
                <w:sz w:val="16"/>
                <w:szCs w:val="16"/>
              </w:rPr>
            </w:pPr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lastRenderedPageBreak/>
              <w:t xml:space="preserve">At the second hospital there was no difference in overall expenditure or supply of most types of antipsychotic; but there was a non-significant decrease in the usage of Risperidone </w:t>
            </w:r>
            <w:proofErr w:type="spellStart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>quicklets</w:t>
            </w:r>
            <w:proofErr w:type="spellEnd"/>
            <w:r w:rsidRPr="00122AE0">
              <w:rPr>
                <w:rFonts w:ascii="AdvOTbc475f09+20" w:hAnsi="AdvOTbc475f09+20" w:cs="AdvOTbc475f09+20"/>
                <w:sz w:val="16"/>
                <w:szCs w:val="16"/>
              </w:rPr>
              <w:t xml:space="preserve"> following the intervention (p &lt; 0.1).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790E33" w:rsidRDefault="00615396" w:rsidP="00615396">
            <w:pPr>
              <w:autoSpaceDE w:val="0"/>
              <w:autoSpaceDN w:val="0"/>
              <w:adjustRightInd w:val="0"/>
              <w:rPr>
                <w:b/>
              </w:rPr>
            </w:pPr>
            <w:r w:rsidRPr="00790E33">
              <w:rPr>
                <w:b/>
              </w:rPr>
              <w:lastRenderedPageBreak/>
              <w:t>McCausland et al. (2019)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Mortality (=2):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units (OR 1.06, 95% CI 1.0–1.4, n=1500). (Meta-Analysis)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stay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units (n=2)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Readmission rate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Non-significantly lower rate of readmission in the SIDU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Rates of BPSD (n=2):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between the units (n=2)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Incidence of delirium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Slightly, not significant greater on the SIDU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New antipsychotic medications (n=1):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New prescription of antipsychotic medications was slightly, not significant greater on the SIDU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Overall antipsychotic prescription rate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Overall antipsychotic prescription rate differences between the wards were non-significant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Documentation of treatment decisions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There was little difference between the wards in documenting the reasoning behind the prescriptions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Accurate drug history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more often had an accurate drug history documented,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Accurate co-morbidities documented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more often had accurate co-morbidities listed, but 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Collateral history taken regarding cognition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more often had a recorded collateral history regarding cognitive impairment,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Single plan for discharge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more likely to have documented discharge plans,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rFonts w:ascii="KnylhxSTIX-Regular" w:hAnsi="KnylhxSTIX-Regular" w:cs="KnylhxSTIX-Regular"/>
                <w:sz w:val="20"/>
                <w:szCs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Resuscitation status documented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more likely to have documented resuscitation status decisions, but this was not significant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Days spent at home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in days spent at home 90 days post randomisation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Discharged to their own home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non-significantly more likely to be discharged to their original home(n=1)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 to new care home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non-significantly less likely to go to a new care home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Barthel index score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differences in Barthel index scores for physical disability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Cognitive impairment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significant differences in Mini-Mental State Examination (MMSE) for cognitive impairment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Patient quality of Life: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 at 90 days in patient’s quality of life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Carer strain index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at 90 days in carer strain index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Carer psychological well-being (n=1):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at 90 days in carer psychological well-being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more carers were happy with the care received on the SIDU (n=1)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Patient positive mood/engaged and Patient active and Patient interacting with others socially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SIDU patients were significantly more often in a positive mood/engaged, with trends for being more active and interacting with others.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b/>
              </w:rPr>
            </w:pPr>
            <w:r w:rsidRPr="00615396">
              <w:rPr>
                <w:b/>
              </w:rPr>
              <w:lastRenderedPageBreak/>
              <w:t>Naylor et al. (2014)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>Time to first rehospitalisation or death:</w:t>
            </w:r>
          </w:p>
          <w:p w:rsidR="00615396" w:rsidRPr="00122AE0" w:rsidRDefault="00615396" w:rsidP="00615396">
            <w:pPr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TCM group experienced a longer time to first rehospitalisation or death than the ASC and RNC groups (25th percentile for ASC: 33 days vs RNC: 58 days and TCM:83 days);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Statistically significant at 30 and 60 days between ASC versus TCM (p≤ 0.05). No differences between ASC and RNC.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 xml:space="preserve">Total number and days of all-cause </w:t>
            </w:r>
            <w:proofErr w:type="spellStart"/>
            <w:r w:rsidRPr="00122AE0">
              <w:rPr>
                <w:b/>
                <w:bCs/>
                <w:sz w:val="16"/>
                <w:szCs w:val="16"/>
              </w:rPr>
              <w:t>rehospitalisations</w:t>
            </w:r>
            <w:proofErr w:type="spellEnd"/>
            <w:r w:rsidRPr="00122AE0">
              <w:rPr>
                <w:b/>
                <w:bCs/>
                <w:sz w:val="16"/>
                <w:szCs w:val="16"/>
              </w:rPr>
              <w:t>:</w:t>
            </w:r>
          </w:p>
          <w:p w:rsidR="00615396" w:rsidRPr="00122AE0" w:rsidRDefault="00615396" w:rsidP="00615396">
            <w:pPr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 xml:space="preserve">Total number of </w:t>
            </w:r>
            <w:proofErr w:type="spellStart"/>
            <w:r w:rsidRPr="00122AE0">
              <w:rPr>
                <w:bCs/>
                <w:sz w:val="16"/>
                <w:szCs w:val="16"/>
              </w:rPr>
              <w:t>rehospitalisations</w:t>
            </w:r>
            <w:proofErr w:type="spellEnd"/>
            <w:r w:rsidRPr="00122AE0">
              <w:rPr>
                <w:bCs/>
                <w:sz w:val="16"/>
                <w:szCs w:val="16"/>
              </w:rPr>
              <w:t xml:space="preserve"> was highest among ASC, and lowest among TCM.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bookmarkStart w:id="13" w:name="_Hlk18913413"/>
            <w:r w:rsidRPr="00122AE0">
              <w:rPr>
                <w:bCs/>
                <w:sz w:val="16"/>
                <w:szCs w:val="16"/>
              </w:rPr>
              <w:t xml:space="preserve">TCM group demonstrated lower mean rehospitalizations per patient then the RNC (p&gt;0.001) and ASC groups (p=0.06) over the </w:t>
            </w:r>
            <w:proofErr w:type="gramStart"/>
            <w:r w:rsidRPr="00122AE0">
              <w:rPr>
                <w:bCs/>
                <w:sz w:val="16"/>
                <w:szCs w:val="16"/>
              </w:rPr>
              <w:t>0-30 day</w:t>
            </w:r>
            <w:proofErr w:type="gramEnd"/>
            <w:r w:rsidRPr="00122AE0">
              <w:rPr>
                <w:bCs/>
                <w:sz w:val="16"/>
                <w:szCs w:val="16"/>
              </w:rPr>
              <w:t xml:space="preserve"> time period. In the </w:t>
            </w:r>
            <w:proofErr w:type="gramStart"/>
            <w:r w:rsidRPr="00122AE0">
              <w:rPr>
                <w:bCs/>
                <w:sz w:val="16"/>
                <w:szCs w:val="16"/>
              </w:rPr>
              <w:t>0-90 day</w:t>
            </w:r>
            <w:proofErr w:type="gramEnd"/>
            <w:r w:rsidRPr="00122AE0">
              <w:rPr>
                <w:bCs/>
                <w:sz w:val="16"/>
                <w:szCs w:val="16"/>
              </w:rPr>
              <w:t xml:space="preserve"> time period, the TCM group demonstrated significantly lower </w:t>
            </w:r>
            <w:proofErr w:type="spellStart"/>
            <w:r w:rsidRPr="00122AE0">
              <w:rPr>
                <w:bCs/>
                <w:sz w:val="16"/>
                <w:szCs w:val="16"/>
              </w:rPr>
              <w:t>rehospitalisations</w:t>
            </w:r>
            <w:proofErr w:type="spellEnd"/>
            <w:r w:rsidRPr="00122AE0">
              <w:rPr>
                <w:bCs/>
                <w:sz w:val="16"/>
                <w:szCs w:val="16"/>
              </w:rPr>
              <w:t xml:space="preserve"> per patient than the ASC group (p=0.02), but not RNC group (p=0.14).</w:t>
            </w:r>
          </w:p>
          <w:bookmarkEnd w:id="13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>Rehospitalisation rates per patient: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bookmarkStart w:id="14" w:name="_Hlk18914235"/>
            <w:r w:rsidRPr="00122AE0">
              <w:rPr>
                <w:bCs/>
                <w:sz w:val="16"/>
                <w:szCs w:val="16"/>
              </w:rPr>
              <w:t>Total number of all-cause rehospitalization days for the ASC group was 6.23 times higher than the TCM group (p=0.06) and the RNC group was 3.35 times higher than the TCM group (p=0.2).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Significant difference between ASC and TCM (p=0.05) in longitudinal profile; no statistically significant difference between RNC and TCM over time (p=0.28).</w:t>
            </w:r>
          </w:p>
          <w:bookmarkEnd w:id="14"/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bCs/>
                <w:sz w:val="16"/>
                <w:szCs w:val="16"/>
              </w:rPr>
            </w:pPr>
            <w:r w:rsidRPr="00122AE0">
              <w:rPr>
                <w:b/>
                <w:bCs/>
                <w:sz w:val="16"/>
                <w:szCs w:val="16"/>
              </w:rPr>
              <w:t>Functional status: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No statistically significant differences between the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122AE0">
              <w:rPr>
                <w:bCs/>
                <w:sz w:val="16"/>
                <w:szCs w:val="16"/>
              </w:rPr>
              <w:t>intervention groups in mean functional status scores through 26 weeks for Basic activities of daily living, Instrumental activities of daily living.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t>O’Brien et al. (2018)</w:t>
            </w:r>
          </w:p>
        </w:tc>
      </w:tr>
      <w:tr w:rsidR="00615396" w:rsidTr="00615396">
        <w:tc>
          <w:tcPr>
            <w:tcW w:w="9062" w:type="dxa"/>
          </w:tcPr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Confidence in caring for a person with dementia: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before and after the intervention in the Confidence in Dementia Scale (MD=5.5; 95%-CI: 4.1 – 6.9;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in the three additional questions: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Confidence in ending a conversation when the patient tries to continue (MD=3.3; 95%-CI: 2.3 – 4.3;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Confidence in achieving a task in the person’s best interest (MD=3.7; 95%-CI: 2.8 – 4.5;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t xml:space="preserve">- </w:t>
            </w:r>
            <w:r w:rsidRPr="00122AE0">
              <w:rPr>
                <w:sz w:val="16"/>
                <w:szCs w:val="16"/>
              </w:rPr>
              <w:t>Confidence in the best way to ask someone to do something (MD=4.0; 95%-CI:3.1 to 4.9;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Knowledge of communication in dementia: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better scores after the intervention (MD=1.5; 95%-CI: 1.0-2.0; p &lt; 0.001)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Communication behaviours: 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improvements in following items:</w:t>
            </w:r>
          </w:p>
          <w:p w:rsidR="00615396" w:rsidRPr="00122AE0" w:rsidRDefault="00615396" w:rsidP="00615396">
            <w:pPr>
              <w:rPr>
                <w:rFonts w:ascii="AdvTTebabd7da" w:hAnsi="AdvTTebabd7da" w:cs="AdvTTebabd7da"/>
                <w:sz w:val="17"/>
                <w:szCs w:val="17"/>
              </w:rPr>
            </w:pPr>
            <w:r w:rsidRPr="00122AE0">
              <w:rPr>
                <w:sz w:val="16"/>
                <w:szCs w:val="16"/>
              </w:rPr>
              <w:t>Vague arrangement making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OR=0; 95%-CI: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 xml:space="preserve">0 to 0.2; </w:t>
            </w:r>
            <w:r w:rsidRPr="00122AE0">
              <w:rPr>
                <w:rFonts w:ascii="AdvTT49bbc31f.I" w:hAnsi="AdvTT49bbc31f.I" w:cs="AdvTT49bbc31f.I"/>
                <w:sz w:val="17"/>
                <w:szCs w:val="17"/>
              </w:rPr>
              <w:t xml:space="preserve">p </w:t>
            </w:r>
            <w:r w:rsidRPr="00122AE0">
              <w:rPr>
                <w:rFonts w:ascii="AdvTTd877c31c" w:hAnsi="AdvTTd877c31c" w:cs="AdvTTd877c31c"/>
                <w:sz w:val="17"/>
                <w:szCs w:val="17"/>
              </w:rPr>
              <w:t xml:space="preserve">&lt;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>0.001)</w:t>
            </w:r>
          </w:p>
          <w:p w:rsidR="00615396" w:rsidRPr="00122AE0" w:rsidRDefault="00615396" w:rsidP="00615396">
            <w:pPr>
              <w:rPr>
                <w:rFonts w:ascii="AdvTTebabd7da" w:hAnsi="AdvTTebabd7da" w:cs="AdvTTebabd7da"/>
                <w:sz w:val="17"/>
                <w:szCs w:val="17"/>
              </w:rPr>
            </w:pPr>
            <w:r w:rsidRPr="00122AE0">
              <w:rPr>
                <w:sz w:val="16"/>
                <w:szCs w:val="16"/>
              </w:rPr>
              <w:t>Specific closings: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 xml:space="preserve">4.0; </w:t>
            </w:r>
            <w:r w:rsidRPr="00122AE0">
              <w:rPr>
                <w:sz w:val="16"/>
                <w:szCs w:val="16"/>
              </w:rPr>
              <w:t xml:space="preserve">95%-CI: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 xml:space="preserve">1.3 to 16; </w:t>
            </w:r>
            <w:r w:rsidRPr="00122AE0">
              <w:rPr>
                <w:rFonts w:ascii="AdvTT49bbc31f.I" w:hAnsi="AdvTT49bbc31f.I" w:cs="AdvTT49bbc31f.I"/>
                <w:sz w:val="17"/>
                <w:szCs w:val="17"/>
              </w:rPr>
              <w:t xml:space="preserve">p </w:t>
            </w:r>
            <w:r w:rsidRPr="00122AE0">
              <w:rPr>
                <w:rFonts w:ascii="AdvTTd877c31c" w:hAnsi="AdvTTd877c31c" w:cs="AdvTTd877c31c"/>
                <w:sz w:val="17"/>
                <w:szCs w:val="17"/>
              </w:rPr>
              <w:t xml:space="preserve">= </w:t>
            </w:r>
            <w:r w:rsidRPr="00122AE0">
              <w:rPr>
                <w:rFonts w:ascii="AdvTTebabd7da" w:hAnsi="AdvTTebabd7da" w:cs="AdvTTebabd7da"/>
                <w:sz w:val="17"/>
                <w:szCs w:val="17"/>
              </w:rPr>
              <w:t>0.007)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Announcing completion of task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 not applicable; p=0.03)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differences in following items: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Notification ahead of closing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2.0; 95% CI: 0.5 to 9.1; p = 0.4)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Announcing explicit intention to leave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1.1; 95% CI: 0.4 to 2.9; p = 0.8)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Non-verbal actions supporting verbal actions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1.1; 95% CI: 0.2 to 4.3; p = 1.0)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Closing idiom used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2.0; 95% CI: 0.7 to 6.5; p = 0.24)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‘Anything else’ question asked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0.6; 95% CI: 0.1 to 2.2; p = 0.55)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Mismatch between verbal and non-verbal communication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3.0; 95% CI: 0.2 to 158; p = 0.62)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made in a highly entitled way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7.0; 95% CI: 0.9 to 315; p = 0.07)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 made in a highly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entitled way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2.2; 95% CI: 0.6 to 10.0; p = 0.27)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softened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1.5; 95% CI: 0.2 to 18.0; p = 1.0)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 softened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1.4; 95% CI: 0.5 to 3.9; p = 0.65)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includes a reduction of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contingencies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0.6; 95% CI: 0.2 to 1.8; p = 0.45)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requests include reduction of contingencies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0.3; 95% CI: 0 to 4.2; p = 0.62)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Initial request is explicit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1.0; 95% CI: 0.1 to 7.5; p = 1.0)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Subsequent requests are explicit (</w:t>
            </w:r>
            <w:proofErr w:type="spellStart"/>
            <w:r w:rsidRPr="00122AE0">
              <w:rPr>
                <w:sz w:val="16"/>
                <w:szCs w:val="16"/>
              </w:rPr>
              <w:t>McNemar’s</w:t>
            </w:r>
            <w:proofErr w:type="spellEnd"/>
            <w:r w:rsidRPr="00122AE0">
              <w:rPr>
                <w:sz w:val="16"/>
                <w:szCs w:val="16"/>
              </w:rPr>
              <w:t xml:space="preserve"> OR= 7.0; 95% CI: 0.9 to 315; p = 0.07)</w:t>
            </w:r>
          </w:p>
          <w:p w:rsidR="00615396" w:rsidRPr="00122AE0" w:rsidRDefault="00615396" w:rsidP="00615396">
            <w:pPr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Emotional tone: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Communication was significantly more controlling (p=0.002), bossy (p=0.02) and dominating (p=0.006).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differences in the other categories (warm, nurturing, directive, affirming, respectful, patronising, supportive, polite, and caring).</w:t>
            </w:r>
          </w:p>
        </w:tc>
      </w:tr>
      <w:tr w:rsid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rPr>
                <w:b/>
              </w:rPr>
            </w:pPr>
            <w:r w:rsidRPr="00615396">
              <w:rPr>
                <w:b/>
              </w:rPr>
              <w:t>Sampson et al. (2017)</w:t>
            </w:r>
          </w:p>
        </w:tc>
      </w:tr>
      <w:tr w:rsidR="00615396" w:rsidRP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Sense of competence: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of all subscales: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Professionalism </w:t>
            </w:r>
            <w:bookmarkStart w:id="15" w:name="_Hlk18673984"/>
            <w:r w:rsidRPr="00122AE0">
              <w:rPr>
                <w:sz w:val="16"/>
                <w:szCs w:val="16"/>
              </w:rPr>
              <w:t>(MD 1.31; 95% CI: 0.97-1.65, p&lt;0.001)</w:t>
            </w:r>
            <w:bookmarkEnd w:id="15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Building relationships</w:t>
            </w:r>
            <w:bookmarkStart w:id="16" w:name="_Hlk18674009"/>
            <w:r w:rsidRPr="00122AE0">
              <w:rPr>
                <w:sz w:val="16"/>
                <w:szCs w:val="16"/>
              </w:rPr>
              <w:t xml:space="preserve"> (MD 2.17; 95% CI: 1.82-2.52, p&lt;0.001)</w:t>
            </w:r>
            <w:bookmarkEnd w:id="16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Care challenges </w:t>
            </w:r>
            <w:bookmarkStart w:id="17" w:name="_Hlk18674027"/>
            <w:r w:rsidRPr="00122AE0">
              <w:rPr>
                <w:sz w:val="16"/>
                <w:szCs w:val="16"/>
              </w:rPr>
              <w:t>(MD 1.63; 95% CI: 1.26-2.01, p&lt;0.001)</w:t>
            </w:r>
            <w:bookmarkEnd w:id="17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Sustaining personhood </w:t>
            </w:r>
            <w:bookmarkStart w:id="18" w:name="_Hlk18674041"/>
            <w:r w:rsidRPr="00122AE0">
              <w:rPr>
                <w:sz w:val="16"/>
                <w:szCs w:val="16"/>
              </w:rPr>
              <w:t>(MD 1.76; 95% CI: 1.44-2.09, p&lt;0.001)</w:t>
            </w:r>
            <w:bookmarkEnd w:id="18"/>
          </w:p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  <w:lang w:val="fr-CH"/>
              </w:rPr>
            </w:pPr>
            <w:r w:rsidRPr="00122AE0">
              <w:rPr>
                <w:sz w:val="16"/>
                <w:szCs w:val="16"/>
                <w:lang w:val="fr-CH"/>
              </w:rPr>
              <w:t xml:space="preserve">Total Score (MD 7.01; 95% </w:t>
            </w:r>
            <w:proofErr w:type="gramStart"/>
            <w:r w:rsidRPr="00122AE0">
              <w:rPr>
                <w:sz w:val="16"/>
                <w:szCs w:val="16"/>
                <w:lang w:val="fr-CH"/>
              </w:rPr>
              <w:t>CI:</w:t>
            </w:r>
            <w:proofErr w:type="gramEnd"/>
            <w:r w:rsidRPr="00122AE0">
              <w:rPr>
                <w:sz w:val="16"/>
                <w:szCs w:val="16"/>
                <w:lang w:val="fr-CH"/>
              </w:rPr>
              <w:t xml:space="preserve"> 5.79-8.22, p&lt;0.001)</w:t>
            </w:r>
          </w:p>
        </w:tc>
      </w:tr>
      <w:tr w:rsidR="00615396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615396" w:rsidRPr="00615396" w:rsidRDefault="00615396" w:rsidP="00615396">
            <w:pPr>
              <w:autoSpaceDE w:val="0"/>
              <w:autoSpaceDN w:val="0"/>
              <w:adjustRightInd w:val="0"/>
              <w:rPr>
                <w:b/>
              </w:rPr>
            </w:pPr>
            <w:proofErr w:type="spellStart"/>
            <w:r w:rsidRPr="00615396">
              <w:rPr>
                <w:b/>
              </w:rPr>
              <w:t>Schindel</w:t>
            </w:r>
            <w:proofErr w:type="spellEnd"/>
            <w:r w:rsidRPr="00615396">
              <w:rPr>
                <w:b/>
              </w:rPr>
              <w:t xml:space="preserve"> Martin et al. (2016)</w:t>
            </w:r>
          </w:p>
        </w:tc>
      </w:tr>
      <w:tr w:rsidR="00615396" w:rsidRPr="00615396" w:rsidTr="00615396">
        <w:tc>
          <w:tcPr>
            <w:tcW w:w="9062" w:type="dxa"/>
          </w:tcPr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lastRenderedPageBreak/>
              <w:t>Self-Efficacy in dementia care: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Significant group by time interaction </w:t>
            </w:r>
            <w:bookmarkStart w:id="19" w:name="_Hlk18674114"/>
            <w:r w:rsidRPr="00122AE0">
              <w:rPr>
                <w:sz w:val="16"/>
                <w:szCs w:val="16"/>
              </w:rPr>
              <w:t>(</w:t>
            </w:r>
            <w:proofErr w:type="gramStart"/>
            <w:r w:rsidRPr="00122AE0">
              <w:rPr>
                <w:sz w:val="16"/>
                <w:szCs w:val="16"/>
              </w:rPr>
              <w:t>F(</w:t>
            </w:r>
            <w:proofErr w:type="gramEnd"/>
            <w:r w:rsidRPr="00122AE0">
              <w:rPr>
                <w:sz w:val="16"/>
                <w:szCs w:val="16"/>
              </w:rPr>
              <w:t>1, 72) = 12.92, P = .001)</w:t>
            </w:r>
            <w:bookmarkEnd w:id="19"/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The IG had significantly higher self-efficacy (M:54.68, SD: 6.46) than the CG did (M: 45.17, SD:8.56) at 6 to 8 weeks postintervention (p &lt; .001).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The IG showed significant increase in self-efficacy between pre- and 6 to 8 weeks postintervention (p&lt;0.001); the CG showed no significant differences between the two timepoints (p=0.21). </w:t>
            </w: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615396" w:rsidRPr="00122AE0" w:rsidRDefault="00615396" w:rsidP="00615396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The IG had a significant increase in self-efficacy from baseline to immediately postintervention (M:57.31, SD:7.74; P &lt; .001) and then a small but significant decrease in SE between immediately postintervention and 6 to 8 weeks postintervention (M:54.68, SD: 6.46; p=.05).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790E33" w:rsidRDefault="00790E33" w:rsidP="00615396">
            <w:pPr>
              <w:autoSpaceDE w:val="0"/>
              <w:autoSpaceDN w:val="0"/>
              <w:adjustRightInd w:val="0"/>
              <w:rPr>
                <w:b/>
              </w:rPr>
            </w:pPr>
            <w:r w:rsidRPr="00790E33">
              <w:rPr>
                <w:b/>
              </w:rPr>
              <w:t>Scerri et al. (2017)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Changes in learning (n=14):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 (n=6):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improvement (n=4)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Changes in beliefs about challenging behaviour 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Self-Efficacy (n=3):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- </w:t>
            </w:r>
            <w:r w:rsidRPr="00122AE0">
              <w:rPr>
                <w:sz w:val="16"/>
                <w:szCs w:val="16"/>
              </w:rPr>
              <w:t>Significant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improvement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Confidence (n=5):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-Significant improvement (n=5)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-perceived confidence was not sustained in one of the hospitals although a repeat of the programme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Staff burnout (n=1):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improvement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Satisfaction with working with people with dementia (n=1):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improvement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Attitudes towards people with dementia (n=8):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- </w:t>
            </w:r>
            <w:r w:rsidRPr="00122AE0">
              <w:rPr>
                <w:sz w:val="16"/>
                <w:szCs w:val="16"/>
              </w:rPr>
              <w:t>Significant improvement (n=6)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improvement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AdvOT46dcae81" w:hAnsi="AdvOT46dcae81" w:cs="AdvOT46dcae81"/>
                <w:i/>
                <w:sz w:val="19"/>
                <w:szCs w:val="19"/>
              </w:rPr>
            </w:pPr>
            <w:r w:rsidRPr="00122AE0">
              <w:rPr>
                <w:rFonts w:ascii="AdvOT46dcae81" w:hAnsi="AdvOT46dcae81" w:cs="AdvOT46dcae81"/>
                <w:i/>
                <w:sz w:val="19"/>
                <w:szCs w:val="19"/>
              </w:rPr>
              <w:t>Relatively little is known on whether these programmes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i/>
                <w:sz w:val="16"/>
                <w:szCs w:val="16"/>
              </w:rPr>
            </w:pPr>
            <w:r w:rsidRPr="00122AE0">
              <w:rPr>
                <w:rFonts w:ascii="AdvOT46dcae81" w:hAnsi="AdvOT46dcae81" w:cs="AdvOT46dcae81"/>
                <w:i/>
                <w:sz w:val="19"/>
                <w:szCs w:val="19"/>
              </w:rPr>
              <w:t>made a sustainable impact over time.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Change in staff behaviour and practices (n=5)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 Improved documentation especially in gathering information from partners and relatives and the doubling of the use of risk assessment and observation charts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- 94% of participants reported that they had or would change practice following the program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Reduction in the use of sedations from 70% to 20% when comparing 10 patients pre-training with 10 patients post-training (n=1)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-NI (n=2)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  <w:u w:val="single"/>
              </w:rPr>
            </w:pPr>
            <w:r w:rsidRPr="00122AE0">
              <w:rPr>
                <w:b/>
                <w:sz w:val="16"/>
                <w:szCs w:val="16"/>
                <w:u w:val="single"/>
              </w:rPr>
              <w:t>Patient and family members’ outcomes (n=1)</w:t>
            </w:r>
          </w:p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Reduction in aggressive behaviour of patients (n=1)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b/>
                <w:u w:val="single"/>
              </w:rPr>
            </w:pPr>
            <w:r w:rsidRPr="00790E33">
              <w:rPr>
                <w:b/>
              </w:rPr>
              <w:t>Sherriff et al. (2017)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790E33">
              <w:rPr>
                <w:b/>
                <w:sz w:val="16"/>
                <w:szCs w:val="16"/>
              </w:rPr>
              <w:t>-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r w:rsidRPr="00790E33">
              <w:rPr>
                <w:b/>
              </w:rPr>
              <w:t>Smith et al. (2015)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Enhanced interdisciplinary inpatient rehabilitation and care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Models(n=2):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Functional performance (n=2):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the functional performance outcomes (n=1)</w:t>
            </w:r>
          </w:p>
          <w:p w:rsidR="00790E33" w:rsidRPr="00EA3477" w:rsidRDefault="00790E33" w:rsidP="00790E33">
            <w:pPr>
              <w:rPr>
                <w:sz w:val="16"/>
                <w:szCs w:val="16"/>
                <w:lang w:val="fr-CH"/>
              </w:rPr>
            </w:pPr>
            <w:r w:rsidRPr="00EA3477">
              <w:rPr>
                <w:sz w:val="16"/>
                <w:szCs w:val="16"/>
                <w:lang w:val="fr-CH"/>
              </w:rPr>
              <w:t>- non-</w:t>
            </w:r>
            <w:proofErr w:type="spellStart"/>
            <w:r w:rsidRPr="00EA3477">
              <w:rPr>
                <w:sz w:val="16"/>
                <w:szCs w:val="16"/>
                <w:lang w:val="fr-CH"/>
              </w:rPr>
              <w:t>significant</w:t>
            </w:r>
            <w:proofErr w:type="spellEnd"/>
            <w:r w:rsidRPr="00EA3477">
              <w:rPr>
                <w:sz w:val="16"/>
                <w:szCs w:val="16"/>
                <w:lang w:val="fr-CH"/>
              </w:rPr>
              <w:t xml:space="preserve"> trend(n=1)</w:t>
            </w:r>
          </w:p>
          <w:p w:rsidR="00790E33" w:rsidRPr="00EA3477" w:rsidRDefault="00790E33" w:rsidP="00790E33">
            <w:pPr>
              <w:rPr>
                <w:b/>
                <w:sz w:val="16"/>
                <w:szCs w:val="16"/>
                <w:lang w:val="fr-CH"/>
              </w:rPr>
            </w:pPr>
          </w:p>
          <w:p w:rsidR="00790E33" w:rsidRPr="00EA3477" w:rsidRDefault="00790E33" w:rsidP="00790E33">
            <w:pPr>
              <w:rPr>
                <w:b/>
                <w:sz w:val="16"/>
                <w:szCs w:val="16"/>
                <w:lang w:val="fr-CH"/>
              </w:rPr>
            </w:pPr>
            <w:proofErr w:type="spellStart"/>
            <w:r w:rsidRPr="00EA3477">
              <w:rPr>
                <w:b/>
                <w:sz w:val="16"/>
                <w:szCs w:val="16"/>
                <w:lang w:val="fr-CH"/>
              </w:rPr>
              <w:t>Mortality</w:t>
            </w:r>
            <w:proofErr w:type="spellEnd"/>
            <w:r w:rsidRPr="00EA3477">
              <w:rPr>
                <w:b/>
                <w:sz w:val="16"/>
                <w:szCs w:val="16"/>
                <w:lang w:val="fr-CH"/>
              </w:rPr>
              <w:t xml:space="preserve"> (n=1</w:t>
            </w:r>
            <w:proofErr w:type="gramStart"/>
            <w:r w:rsidRPr="00EA3477">
              <w:rPr>
                <w:b/>
                <w:sz w:val="16"/>
                <w:szCs w:val="16"/>
                <w:lang w:val="fr-CH"/>
              </w:rPr>
              <w:t>):</w:t>
            </w:r>
            <w:proofErr w:type="gramEnd"/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mortality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Complications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complications including pneumonia, decubital ulcers, postoperative fracture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Urinary tract infections were reduced significantly (p=0.001)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Nutritional problems were reduced significantly (p=0.025)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Postoperative delirium was reduced significantly (p=0.002)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recurrent falls were reduced significantly (p=0.006)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hospital stay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length of hospital stay (n=1)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Number of drugs prescribed on discharge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this outcome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 destination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due to imprecision in the results, it was not possible to determine the effect on this outcome (n=1)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Enhanced interdisciplinary inpatient and home-based rehabilitation and care models (n=2):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Mortality 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differences between the groups at 3 (OR 1.20, 95% CI 0.36 to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3.93, n = 184) or 12 months (OR 1.07, 95%, CI 0.47 to 2.45, 2 trials, n = 177) (Meta-Analysis)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Discharge destination (n=2):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-Difference between the groups in favour of the intervention at 3 months (OR 0.46, 95% CI 0.22 to 0.95, n = 184), but not at 12 months (OR 0.90, 95%CI 0.40 to 2.03, n = 177) (n=2, Meta-Analysis)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difference for people with mild dementia at 3 months (OR 5.33, 95% CI 1.39 to 20.49, P = 0.01, n = 77), but not at 12 months (OR 1.05, 95% CI 0.36 to 3.015, n = 77). (n=1, Subgroup analysis)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Significant difference for people with moderate dementia at 3 months (OR 8.33, 95% CI 1.48 to 46.94, P = 0.02, n=36), but not at 12 months (OR 3.33, 95% CI 0.78 to 14.31, P = 0.11, n = 36). (n=1, Subgroup analysis)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No difference for those with severe dementia, 3 months (OR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0.73, 95%CI 0.15 to 3.65, P = 0.70, n = 28) or 12 months after surgery (OR 1.17, 95% CI 0.22 to 6.20, P = 0.86, n = 28). (n=1, Subgroup analysis)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Functional performance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 Greater proportion of participants in the intervention group regaining pre-fracture walking levels at 3 and 12 months, but not at 24 months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-Better ADL-Performance in the intervention group at 3 and 12 months, but not at 24 months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Frequency of hospital admissions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effect of the intervention on this outcome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Attendance at the emergency room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effect of the intervention on this outcome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Incidence of falls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Due to the imprecision in the results, it was not possible to determine the group differences 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hospital stay (n=1):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For participants with both mild and moderately severe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cognitive impairment, the median length of stay in hospital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was significantly shorter for those in the intervention group than for those in the control group. There was no difference for people with severe cognitive impairment.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Geriatrician-led inpatient management (n=1):</w:t>
            </w: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Incidence of delirium (n=1):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the groups</w:t>
            </w:r>
          </w:p>
          <w:p w:rsidR="00790E33" w:rsidRPr="00122AE0" w:rsidRDefault="00790E33" w:rsidP="00790E33">
            <w:pPr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Length of hospital stay (n=1):</w:t>
            </w:r>
          </w:p>
          <w:p w:rsidR="00790E33" w:rsidRPr="00790E33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the groups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bookmarkStart w:id="20" w:name="_GoBack"/>
            <w:r w:rsidRPr="00615396">
              <w:rPr>
                <w:b/>
              </w:rPr>
              <w:lastRenderedPageBreak/>
              <w:t>Toye et al. (2019)</w:t>
            </w:r>
          </w:p>
        </w:tc>
      </w:tr>
      <w:bookmarkEnd w:id="20"/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 of Alzheimer’s disease: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 xml:space="preserve">Change leaders: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T1 and T2 (p=0.02), and between T1 and T3 (p=0.02)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T1 and T2, significant difference between T1 and T3 (p=0.003)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Knowledge of dementia: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Change leaders: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T1 and T2 (p=0.04), and between T1 and T3 (p=0.04)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  <w:u w:val="single"/>
              </w:rPr>
            </w:pPr>
            <w:r w:rsidRPr="00122AE0">
              <w:rPr>
                <w:sz w:val="16"/>
                <w:szCs w:val="16"/>
                <w:u w:val="single"/>
              </w:rPr>
              <w:t>Staff:</w:t>
            </w:r>
          </w:p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difference between T1 and T2 (p=0.005) and between T1 and T3 (p=0.001)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r w:rsidRPr="00615396">
              <w:rPr>
                <w:b/>
              </w:rPr>
              <w:t>Travers et al. (2018)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Increased numbers of patients assessed for cognitive impairment with a standardized tool at admission to hospital: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better in the IG (n=70, 54 %) compared to CG (n=13, 25 %) (χ2=11.86; p=0.001)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Informal assessment of patient’s cognitive function: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lastRenderedPageBreak/>
              <w:t xml:space="preserve">No significant difference between IG (n=88, 68 %) and CG (n=31, 61 </w:t>
            </w:r>
            <w:proofErr w:type="gramStart"/>
            <w:r w:rsidRPr="00122AE0">
              <w:rPr>
                <w:sz w:val="16"/>
                <w:szCs w:val="16"/>
              </w:rPr>
              <w:t>%)(</w:t>
            </w:r>
            <w:proofErr w:type="gramEnd"/>
            <w:r w:rsidRPr="00122AE0">
              <w:rPr>
                <w:sz w:val="16"/>
                <w:szCs w:val="16"/>
              </w:rPr>
              <w:t xml:space="preserve"> χ2=0.78, p=0.38)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Medication use: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Significant more patients were administered analgesia in the CG (n=25, 49 %), than in the IG (n=36, 28 %). (χ2= 7.46, p=0.006)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regarding newly prescribed benzodiazepines (IG: n=21, 16%; CG: n=3, 6%, χ2=3.36, p=0.07)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differences regarding newly prescribed antipsychotics (IG: n=29, 21%; CG: n=12, 23 %, χ2=0.03, p=0.86)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IG: Significant increase in analgesia administration over time (χ2 =13.15, p = 0.01), increasing from 27 % at baseline to 48 % post-action plan implementation, declining to 12 % at 3-month follow-up.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IG: Significant change in benzodiazepine administration following the intervention, decreasing from 25 % at baseline to 6 % post-implementation, although increasing to 20 % at follow- up.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Patient activity: (total observations: IG: 376; CG: 156)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and CG: Patient doing nothing (IG: n=170, 45%; CG: n=81, 52 %) versus Patient engaged in some activity (IG: n=206, 55%; IG: n=75, 48 %) </w:t>
            </w:r>
            <w:bookmarkStart w:id="21" w:name="_Hlk18914862"/>
            <w:r w:rsidRPr="00122AE0">
              <w:rPr>
                <w:sz w:val="16"/>
                <w:szCs w:val="16"/>
              </w:rPr>
              <w:t>(χ2=1.99, p=0.16)</w:t>
            </w:r>
            <w:bookmarkEnd w:id="21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Signs of agitation/Pain: (total observations: IG: 497, CG: 175)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(n=59, 12 %) versus CG (n=25, 14%) </w:t>
            </w:r>
            <w:bookmarkStart w:id="22" w:name="_Hlk18915062"/>
            <w:r w:rsidRPr="00122AE0">
              <w:rPr>
                <w:sz w:val="16"/>
                <w:szCs w:val="16"/>
              </w:rPr>
              <w:t>(χ2=0.69, p=0.41)</w:t>
            </w:r>
            <w:bookmarkEnd w:id="22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Confusion/disorientation: (total observations: </w:t>
            </w:r>
            <w:proofErr w:type="gramStart"/>
            <w:r w:rsidRPr="00122AE0">
              <w:rPr>
                <w:b/>
                <w:sz w:val="16"/>
                <w:szCs w:val="16"/>
              </w:rPr>
              <w:t>IG :</w:t>
            </w:r>
            <w:proofErr w:type="gramEnd"/>
            <w:r w:rsidRPr="00122AE0">
              <w:rPr>
                <w:b/>
                <w:sz w:val="16"/>
                <w:szCs w:val="16"/>
              </w:rPr>
              <w:t xml:space="preserve"> 484, CG: 197)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(n=184, 38 %) and CG (n=74, 38%) (χ2=0.012, p=0.91)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 xml:space="preserve">Number of occasions, patients experienced meal-time difficulty (total observations: IG: n=205, CG:70) 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(n=128, 62 %) and CG (n=55, 70 %) </w:t>
            </w:r>
            <w:bookmarkStart w:id="23" w:name="_Hlk18915520"/>
            <w:r w:rsidRPr="00122AE0">
              <w:rPr>
                <w:sz w:val="16"/>
                <w:szCs w:val="16"/>
              </w:rPr>
              <w:t>(χ2=1.28, p=0.27)</w:t>
            </w:r>
            <w:bookmarkEnd w:id="23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Number of occasions, patients who showed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 xml:space="preserve">confusion </w:t>
            </w:r>
            <w:proofErr w:type="gramStart"/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were</w:t>
            </w:r>
            <w:proofErr w:type="gramEnd"/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 xml:space="preserve"> reoriented by nurse (total observations: IG: n=173, CG: 62)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(n=109, 63 %) and CG (n=36, 58 %) </w:t>
            </w:r>
            <w:bookmarkStart w:id="24" w:name="_Hlk18916646"/>
            <w:r w:rsidRPr="00122AE0">
              <w:rPr>
                <w:sz w:val="16"/>
                <w:szCs w:val="16"/>
              </w:rPr>
              <w:t>(χ2=0.47, p=0.49)</w:t>
            </w:r>
            <w:bookmarkEnd w:id="24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Number of occasions patients who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experienced meal-time difficulty received appropriate assistance (total observations: IG: n=127, CG: 54)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 xml:space="preserve">No difference between IG (n=96, 76 %) and CG (n=47, 87 %) </w:t>
            </w:r>
            <w:bookmarkStart w:id="25" w:name="_Hlk18916725"/>
            <w:r w:rsidRPr="00122AE0">
              <w:rPr>
                <w:sz w:val="16"/>
                <w:szCs w:val="16"/>
              </w:rPr>
              <w:t>(χ2=3.0, p=0.56)</w:t>
            </w:r>
            <w:bookmarkEnd w:id="25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b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How often did the nurses introduce themselves when they approached the patient (total observations: IG: 384, CG: 135)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(n=39, 10 %) and CG (n=34, 25%) (χ2=6.8, p=0.009)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b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 xml:space="preserve">How often did the nurse address the </w:t>
            </w:r>
            <w:proofErr w:type="gramStart"/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patient</w:t>
            </w:r>
            <w:proofErr w:type="gramEnd"/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by his/her name when they approached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the patient (total observations: IG: 386, CG: 135)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(n=221, 57 %) and CG (n=67, 49%) (χ2=2.35, p=0.13)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DvpvgjAdvTT86d47313" w:hAnsi="DvpvgjAdvTT86d47313" w:cs="DvpvgjAdvTT86d47313"/>
                <w:b/>
                <w:sz w:val="20"/>
                <w:szCs w:val="20"/>
              </w:rPr>
            </w:pP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Nurse explained action/ procedure in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rFonts w:ascii="JcymljAdvTTb5929f4c" w:hAnsi="JcymljAdvTTb5929f4c" w:cs="JcymljAdvTTb5929f4c"/>
                <w:b/>
                <w:sz w:val="16"/>
                <w:szCs w:val="16"/>
              </w:rPr>
            </w:pPr>
            <w:r w:rsidRPr="00122AE0">
              <w:rPr>
                <w:rFonts w:ascii="JcymljAdvTTb5929f4c" w:hAnsi="JcymljAdvTTb5929f4c" w:cs="JcymljAdvTTb5929f4c"/>
                <w:b/>
                <w:sz w:val="16"/>
                <w:szCs w:val="16"/>
              </w:rPr>
              <w:t>easy to understand terms (total observations: IG: 398, CG: 133)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difference between IG (n=283, 71 %) and CG (n=97, 73%) (χ2=0.16, p=0.69)</w:t>
            </w:r>
          </w:p>
        </w:tc>
      </w:tr>
      <w:tr w:rsidR="00790E33" w:rsidRPr="00615396" w:rsidTr="00AF54A4">
        <w:tc>
          <w:tcPr>
            <w:tcW w:w="9062" w:type="dxa"/>
            <w:shd w:val="clear" w:color="auto" w:fill="D0CECE" w:themeFill="background2" w:themeFillShade="E6"/>
          </w:tcPr>
          <w:p w:rsidR="00790E33" w:rsidRPr="00615396" w:rsidRDefault="00790E33" w:rsidP="00790E33">
            <w:pPr>
              <w:autoSpaceDE w:val="0"/>
              <w:autoSpaceDN w:val="0"/>
              <w:adjustRightInd w:val="0"/>
              <w:rPr>
                <w:b/>
              </w:rPr>
            </w:pPr>
            <w:r w:rsidRPr="00615396">
              <w:rPr>
                <w:b/>
              </w:rPr>
              <w:lastRenderedPageBreak/>
              <w:t>Wierman et al. (2011)</w:t>
            </w:r>
          </w:p>
        </w:tc>
      </w:tr>
      <w:tr w:rsidR="00790E33" w:rsidRPr="00615396" w:rsidTr="00615396">
        <w:tc>
          <w:tcPr>
            <w:tcW w:w="9062" w:type="dxa"/>
          </w:tcPr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b/>
                <w:sz w:val="16"/>
                <w:szCs w:val="16"/>
              </w:rPr>
              <w:t>Agitation:</w:t>
            </w:r>
          </w:p>
          <w:p w:rsidR="00790E33" w:rsidRPr="00122AE0" w:rsidRDefault="00790E33" w:rsidP="00790E33">
            <w:pPr>
              <w:autoSpaceDE w:val="0"/>
              <w:autoSpaceDN w:val="0"/>
              <w:adjustRightInd w:val="0"/>
              <w:rPr>
                <w:b/>
                <w:sz w:val="16"/>
                <w:szCs w:val="16"/>
              </w:rPr>
            </w:pPr>
            <w:r w:rsidRPr="00122AE0">
              <w:rPr>
                <w:sz w:val="16"/>
                <w:szCs w:val="16"/>
              </w:rPr>
              <w:t>No significant results; trend towards improvement of agitation in Group A.</w:t>
            </w:r>
          </w:p>
        </w:tc>
      </w:tr>
    </w:tbl>
    <w:p w:rsidR="00615396" w:rsidRPr="00615396" w:rsidRDefault="00615396">
      <w:pPr>
        <w:rPr>
          <w:b/>
        </w:rPr>
      </w:pPr>
    </w:p>
    <w:sectPr w:rsidR="00615396" w:rsidRPr="0061539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0E33" w:rsidRDefault="00790E33" w:rsidP="00790E33">
      <w:pPr>
        <w:spacing w:after="0" w:line="240" w:lineRule="auto"/>
      </w:pPr>
      <w:r>
        <w:separator/>
      </w:r>
    </w:p>
  </w:endnote>
  <w:endnote w:type="continuationSeparator" w:id="0">
    <w:p w:rsidR="00790E33" w:rsidRDefault="00790E33" w:rsidP="00790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1ef757c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Plantin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OHFNJ D+ Adv P 4 D F 60 E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bc475f09+20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638a931c.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bc475f09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KnylhxSTIX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ebabd7d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49bbc31f.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d877c31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46dcae81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vpvgjAdvTT86d4731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JcymljAdvTTb5929f4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0E33" w:rsidRDefault="00790E33" w:rsidP="00790E33">
      <w:pPr>
        <w:spacing w:after="0" w:line="240" w:lineRule="auto"/>
      </w:pPr>
      <w:r>
        <w:separator/>
      </w:r>
    </w:p>
  </w:footnote>
  <w:footnote w:type="continuationSeparator" w:id="0">
    <w:p w:rsidR="00790E33" w:rsidRDefault="00790E33" w:rsidP="00790E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396"/>
    <w:rsid w:val="00615396"/>
    <w:rsid w:val="00790E33"/>
    <w:rsid w:val="007E1228"/>
    <w:rsid w:val="009429B3"/>
    <w:rsid w:val="00AF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3B2E9DE"/>
  <w15:chartTrackingRefBased/>
  <w15:docId w15:val="{42A98539-3ABF-4AB2-86A7-42D8C9A39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15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5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5396"/>
    <w:rPr>
      <w:rFonts w:ascii="Segoe UI" w:hAnsi="Segoe UI" w:cs="Segoe UI"/>
      <w:sz w:val="18"/>
      <w:szCs w:val="18"/>
      <w:lang w:val="en-GB"/>
    </w:rPr>
  </w:style>
  <w:style w:type="paragraph" w:customStyle="1" w:styleId="Default">
    <w:name w:val="Default"/>
    <w:rsid w:val="0061539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3490</Words>
  <Characters>21991</Characters>
  <Application>Microsoft Office Word</Application>
  <DocSecurity>0</DocSecurity>
  <Lines>183</Lines>
  <Paragraphs>50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Karrer</dc:creator>
  <cp:keywords/>
  <dc:description/>
  <cp:lastModifiedBy>Melanie Karrer</cp:lastModifiedBy>
  <cp:revision>3</cp:revision>
  <dcterms:created xsi:type="dcterms:W3CDTF">2019-12-18T21:05:00Z</dcterms:created>
  <dcterms:modified xsi:type="dcterms:W3CDTF">2019-12-18T21:27:00Z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